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libri" w:hAnsi="Calibri"/>
          <w:b/>
          <w:color w:val="1F4E79"/>
          <w:sz w:val="36"/>
        </w:rPr>
        <w:t>AVAD, OBRT ZA USLUGE</w:t>
      </w:r>
    </w:p>
    <w:p>
      <w:pPr>
        <w:spacing w:before="0" w:after="240"/>
        <w:jc w:val="center"/>
      </w:pPr>
      <w:r>
        <w:rPr>
          <w:rFonts w:ascii="Calibri" w:hAnsi="Calibri"/>
          <w:color w:val="595959"/>
          <w:sz w:val="20"/>
        </w:rPr>
        <w:t>vl. Mateo Herbut  |  Adresa: Vjekoslava Spinčića 34, 52210 Rovinj</w:t>
        <w:br/>
        <w:t>OIB: 08717342961  |  MBO: 98705555</w:t>
      </w:r>
    </w:p>
    <w:p>
      <w:pPr>
        <w:spacing w:after="120"/>
      </w:pPr>
    </w:p>
    <w:p>
      <w:pPr>
        <w:spacing w:before="120" w:after="80"/>
        <w:jc w:val="center"/>
      </w:pPr>
      <w:r>
        <w:rPr>
          <w:rFonts w:ascii="Calibri" w:hAnsi="Calibri"/>
          <w:b/>
          <w:color w:val="1F4E79"/>
          <w:sz w:val="32"/>
        </w:rPr>
        <w:t>CJENIK USLUGA</w:t>
      </w:r>
    </w:p>
    <w:p>
      <w:pPr>
        <w:spacing w:before="0" w:after="320"/>
        <w:jc w:val="center"/>
      </w:pPr>
      <w:r>
        <w:rPr>
          <w:rFonts w:ascii="Calibri" w:hAnsi="Calibri"/>
          <w:i/>
          <w:color w:val="595959"/>
          <w:sz w:val="20"/>
        </w:rPr>
        <w:t>Vrijedi od: 10. rujna 2026.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insideH w:val="single" w:sz="4" w:space="0" w:color="E0E0E0"/>
          <w:insideV w:val="none"/>
          <w:left w:val="none"/>
          <w:right w:val="none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864"/>
            <w:shd w:fill="1F4E79"/>
          </w:tcPr>
          <w:p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R.br.</w:t>
            </w:r>
          </w:p>
        </w:tc>
        <w:tc>
          <w:tcPr>
            <w:tcW w:type="dxa" w:w="4464"/>
            <w:shd w:fill="1F4E79"/>
          </w:tcPr>
          <w:p>
            <w:pPr>
              <w:spacing w:before="80" w:after="80"/>
              <w:jc w:val="left"/>
            </w:pPr>
            <w:r>
              <w:rPr>
                <w:rFonts w:ascii="Calibri" w:hAnsi="Calibri"/>
                <w:b/>
                <w:color w:val="FFFFFF"/>
                <w:sz w:val="19"/>
              </w:rPr>
              <w:t>Kategorija i naziv usluge</w:t>
            </w:r>
          </w:p>
        </w:tc>
        <w:tc>
          <w:tcPr>
            <w:tcW w:type="dxa" w:w="1152"/>
            <w:shd w:fill="1F4E79"/>
          </w:tcPr>
          <w:p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Jed. mj.</w:t>
            </w:r>
          </w:p>
        </w:tc>
        <w:tc>
          <w:tcPr>
            <w:tcW w:type="dxa" w:w="1728"/>
            <w:shd w:fill="1F4E79"/>
          </w:tcPr>
          <w:p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Sidrena cijena (€)</w:t>
              <w:br/>
              <w:t>(10.9.2026.)</w:t>
            </w:r>
          </w:p>
        </w:tc>
        <w:tc>
          <w:tcPr>
            <w:tcW w:type="dxa" w:w="1728"/>
            <w:shd w:fill="1F4E79"/>
          </w:tcPr>
          <w:p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Redovna cijena (€)</w:t>
            </w:r>
          </w:p>
        </w:tc>
      </w:tr>
      <w:tr>
        <w:tc>
          <w:tcPr>
            <w:tcW w:type="dxa" w:w="864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1</w:t>
            </w:r>
          </w:p>
        </w:tc>
        <w:tc>
          <w:tcPr>
            <w:tcW w:type="dxa" w:w="4464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GRAĐEVINSKI I ZAVRŠNI RADOVI - Ugradnja stolarije (drvo, PVC, ALU)</w:t>
            </w:r>
          </w:p>
        </w:tc>
        <w:tc>
          <w:tcPr>
            <w:tcW w:type="dxa" w:w="1152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kom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35,00 €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35,00 €</w:t>
            </w:r>
          </w:p>
        </w:tc>
      </w:tr>
      <w:tr>
        <w:tc>
          <w:tcPr>
            <w:tcW w:type="dxa" w:w="864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2</w:t>
            </w:r>
          </w:p>
        </w:tc>
        <w:tc>
          <w:tcPr>
            <w:tcW w:type="dxa" w:w="4464"/>
            <w:shd w:fill="F2F5F9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GRAĐEVINSKI I ZAVRŠNI RADOVI - Ostali završni građevinski radovi</w:t>
            </w:r>
          </w:p>
        </w:tc>
        <w:tc>
          <w:tcPr>
            <w:tcW w:type="dxa" w:w="1152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m²</w:t>
            </w:r>
          </w:p>
        </w:tc>
        <w:tc>
          <w:tcPr>
            <w:tcW w:type="dxa" w:w="1728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18,00 €</w:t>
            </w:r>
          </w:p>
        </w:tc>
        <w:tc>
          <w:tcPr>
            <w:tcW w:type="dxa" w:w="1728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18,00 €</w:t>
            </w:r>
          </w:p>
        </w:tc>
      </w:tr>
      <w:tr>
        <w:tc>
          <w:tcPr>
            <w:tcW w:type="dxa" w:w="864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3</w:t>
            </w:r>
          </w:p>
        </w:tc>
        <w:tc>
          <w:tcPr>
            <w:tcW w:type="dxa" w:w="4464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GRAĐEVINSKI I ZAVRŠNI RADOVI - Ostale specijalizirane građevinske usluge</w:t>
            </w:r>
          </w:p>
        </w:tc>
        <w:tc>
          <w:tcPr>
            <w:tcW w:type="dxa" w:w="1152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sat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25,00 €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25,00 €</w:t>
            </w:r>
          </w:p>
        </w:tc>
      </w:tr>
      <w:tr>
        <w:tc>
          <w:tcPr>
            <w:tcW w:type="dxa" w:w="864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4</w:t>
            </w:r>
          </w:p>
        </w:tc>
        <w:tc>
          <w:tcPr>
            <w:tcW w:type="dxa" w:w="4464"/>
            <w:shd w:fill="F2F5F9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GRAĐEVINSKI I ZAVRŠNI RADOVI - Satnica građevinskog/obrtničkog rada</w:t>
            </w:r>
          </w:p>
        </w:tc>
        <w:tc>
          <w:tcPr>
            <w:tcW w:type="dxa" w:w="1152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sat</w:t>
            </w:r>
          </w:p>
        </w:tc>
        <w:tc>
          <w:tcPr>
            <w:tcW w:type="dxa" w:w="1728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22,00 €</w:t>
            </w:r>
          </w:p>
        </w:tc>
        <w:tc>
          <w:tcPr>
            <w:tcW w:type="dxa" w:w="1728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22,00 €</w:t>
            </w:r>
          </w:p>
        </w:tc>
      </w:tr>
      <w:tr>
        <w:tc>
          <w:tcPr>
            <w:tcW w:type="dxa" w:w="864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5</w:t>
            </w:r>
          </w:p>
        </w:tc>
        <w:tc>
          <w:tcPr>
            <w:tcW w:type="dxa" w:w="4464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ODRŽAVANJE I ČIŠĆENJE - Upravljanje i tehničko održavanje zgrada</w:t>
            </w:r>
          </w:p>
        </w:tc>
        <w:tc>
          <w:tcPr>
            <w:tcW w:type="dxa" w:w="1152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sat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25,00 €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25,00 €</w:t>
            </w:r>
          </w:p>
        </w:tc>
      </w:tr>
      <w:tr>
        <w:tc>
          <w:tcPr>
            <w:tcW w:type="dxa" w:w="864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6</w:t>
            </w:r>
          </w:p>
        </w:tc>
        <w:tc>
          <w:tcPr>
            <w:tcW w:type="dxa" w:w="4464"/>
            <w:shd w:fill="F2F5F9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ODRŽAVANJE I ČIŠĆENJE - Osnovno čišćenje prostora i zgrada</w:t>
            </w:r>
          </w:p>
        </w:tc>
        <w:tc>
          <w:tcPr>
            <w:tcW w:type="dxa" w:w="1152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m²</w:t>
            </w:r>
          </w:p>
        </w:tc>
        <w:tc>
          <w:tcPr>
            <w:tcW w:type="dxa" w:w="1728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12,00 €</w:t>
            </w:r>
          </w:p>
        </w:tc>
        <w:tc>
          <w:tcPr>
            <w:tcW w:type="dxa" w:w="1728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12,00 €</w:t>
            </w:r>
          </w:p>
        </w:tc>
      </w:tr>
      <w:tr>
        <w:tc>
          <w:tcPr>
            <w:tcW w:type="dxa" w:w="864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7</w:t>
            </w:r>
          </w:p>
        </w:tc>
        <w:tc>
          <w:tcPr>
            <w:tcW w:type="dxa" w:w="4464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ODRŽAVANJE I ČIŠĆENJE - Ostale djelatnosti čišćenja zgrada i objekata</w:t>
            </w:r>
          </w:p>
        </w:tc>
        <w:tc>
          <w:tcPr>
            <w:tcW w:type="dxa" w:w="1152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sat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18,00 €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18,00 €</w:t>
            </w:r>
          </w:p>
        </w:tc>
      </w:tr>
      <w:tr>
        <w:tc>
          <w:tcPr>
            <w:tcW w:type="dxa" w:w="864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8</w:t>
            </w:r>
          </w:p>
        </w:tc>
        <w:tc>
          <w:tcPr>
            <w:tcW w:type="dxa" w:w="4464"/>
            <w:shd w:fill="F2F5F9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ODRŽAVANJE I ČIŠĆENJE - Uređenje i održavanje krajolika i okoliša</w:t>
            </w:r>
          </w:p>
        </w:tc>
        <w:tc>
          <w:tcPr>
            <w:tcW w:type="dxa" w:w="1152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sat</w:t>
            </w:r>
          </w:p>
        </w:tc>
        <w:tc>
          <w:tcPr>
            <w:tcW w:type="dxa" w:w="1728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20,00 €</w:t>
            </w:r>
          </w:p>
        </w:tc>
        <w:tc>
          <w:tcPr>
            <w:tcW w:type="dxa" w:w="1728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20,00 €</w:t>
            </w:r>
          </w:p>
        </w:tc>
      </w:tr>
      <w:tr>
        <w:tc>
          <w:tcPr>
            <w:tcW w:type="dxa" w:w="864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9</w:t>
            </w:r>
          </w:p>
        </w:tc>
        <w:tc>
          <w:tcPr>
            <w:tcW w:type="dxa" w:w="4464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POMORSKE I NAUTIČKE USLUGE - Prijevoz putnika plovilom / izleti</w:t>
            </w:r>
          </w:p>
        </w:tc>
        <w:tc>
          <w:tcPr>
            <w:tcW w:type="dxa" w:w="1152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osoba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45,00 €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45,00 €</w:t>
            </w:r>
          </w:p>
        </w:tc>
      </w:tr>
      <w:tr>
        <w:tc>
          <w:tcPr>
            <w:tcW w:type="dxa" w:w="864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10</w:t>
            </w:r>
          </w:p>
        </w:tc>
        <w:tc>
          <w:tcPr>
            <w:tcW w:type="dxa" w:w="4464"/>
            <w:shd w:fill="F2F5F9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POMORSKE I NAUTIČKE USLUGE - Upravljanje plovnim objektom (skiper)</w:t>
            </w:r>
          </w:p>
        </w:tc>
        <w:tc>
          <w:tcPr>
            <w:tcW w:type="dxa" w:w="1152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sat</w:t>
            </w:r>
          </w:p>
        </w:tc>
        <w:tc>
          <w:tcPr>
            <w:tcW w:type="dxa" w:w="1728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35,00 €</w:t>
            </w:r>
          </w:p>
        </w:tc>
        <w:tc>
          <w:tcPr>
            <w:tcW w:type="dxa" w:w="1728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35,00 €</w:t>
            </w:r>
          </w:p>
        </w:tc>
      </w:tr>
      <w:tr>
        <w:tc>
          <w:tcPr>
            <w:tcW w:type="dxa" w:w="864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11</w:t>
            </w:r>
          </w:p>
        </w:tc>
        <w:tc>
          <w:tcPr>
            <w:tcW w:type="dxa" w:w="4464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POMORSKE I NAUTIČKE USLUGE - Ostale uslužne djelatnosti u vezi s vodnim prijevozom</w:t>
            </w:r>
          </w:p>
        </w:tc>
        <w:tc>
          <w:tcPr>
            <w:tcW w:type="dxa" w:w="1152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paušal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50,00 €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50,00 €</w:t>
            </w:r>
          </w:p>
        </w:tc>
      </w:tr>
      <w:tr>
        <w:tc>
          <w:tcPr>
            <w:tcW w:type="dxa" w:w="864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12</w:t>
            </w:r>
          </w:p>
        </w:tc>
        <w:tc>
          <w:tcPr>
            <w:tcW w:type="dxa" w:w="4464"/>
            <w:shd w:fill="F2F5F9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PROMIDŽBA I OGLAŠAVANJE - Usluge agencije za promidžbu (marketing/dizajn)</w:t>
            </w:r>
          </w:p>
        </w:tc>
        <w:tc>
          <w:tcPr>
            <w:tcW w:type="dxa" w:w="1152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sat</w:t>
            </w:r>
          </w:p>
        </w:tc>
        <w:tc>
          <w:tcPr>
            <w:tcW w:type="dxa" w:w="1728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40,00 €</w:t>
            </w:r>
          </w:p>
        </w:tc>
        <w:tc>
          <w:tcPr>
            <w:tcW w:type="dxa" w:w="1728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40,00 €</w:t>
            </w:r>
          </w:p>
        </w:tc>
      </w:tr>
      <w:tr>
        <w:tc>
          <w:tcPr>
            <w:tcW w:type="dxa" w:w="864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13</w:t>
            </w:r>
          </w:p>
        </w:tc>
        <w:tc>
          <w:tcPr>
            <w:tcW w:type="dxa" w:w="4464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PROMIDŽBA I OGLAŠAVANJE - Oglašavanje putem medija</w:t>
            </w:r>
          </w:p>
        </w:tc>
        <w:tc>
          <w:tcPr>
            <w:tcW w:type="dxa" w:w="1152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kampanja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60,00 €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60,00 €</w:t>
            </w:r>
          </w:p>
        </w:tc>
      </w:tr>
      <w:tr>
        <w:tc>
          <w:tcPr>
            <w:tcW w:type="dxa" w:w="864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14</w:t>
            </w:r>
          </w:p>
        </w:tc>
        <w:tc>
          <w:tcPr>
            <w:tcW w:type="dxa" w:w="4464"/>
            <w:shd w:fill="F2F5F9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PROIZVODNJA - Izrada i prodaja bižuterije / imitacije nakita</w:t>
            </w:r>
          </w:p>
        </w:tc>
        <w:tc>
          <w:tcPr>
            <w:tcW w:type="dxa" w:w="1152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kom</w:t>
            </w:r>
          </w:p>
        </w:tc>
        <w:tc>
          <w:tcPr>
            <w:tcW w:type="dxa" w:w="1728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15,00 €</w:t>
            </w:r>
          </w:p>
        </w:tc>
        <w:tc>
          <w:tcPr>
            <w:tcW w:type="dxa" w:w="1728"/>
            <w:shd w:fill="F2F5F9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15,00 €</w:t>
            </w:r>
          </w:p>
        </w:tc>
      </w:tr>
      <w:tr>
        <w:tc>
          <w:tcPr>
            <w:tcW w:type="dxa" w:w="864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15</w:t>
            </w:r>
          </w:p>
        </w:tc>
        <w:tc>
          <w:tcPr>
            <w:tcW w:type="dxa" w:w="4464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color w:val="333333"/>
                <w:sz w:val="18"/>
              </w:rPr>
              <w:t>OPĆE USLUGE - Dolazak na teren / procjena radova</w:t>
            </w:r>
          </w:p>
        </w:tc>
        <w:tc>
          <w:tcPr>
            <w:tcW w:type="dxa" w:w="1152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izlazak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color w:val="333333"/>
                <w:sz w:val="18"/>
              </w:rPr>
              <w:t>25,00 €</w:t>
            </w:r>
          </w:p>
        </w:tc>
        <w:tc>
          <w:tcPr>
            <w:tcW w:type="dxa" w:w="1728"/>
          </w:tcPr>
          <w:p>
            <w:pPr>
              <w:spacing w:before="60" w:after="60"/>
              <w:jc w:val="center"/>
            </w:pPr>
            <w:r>
              <w:rPr>
                <w:rFonts w:ascii="Calibri" w:hAnsi="Calibri"/>
                <w:b/>
                <w:color w:val="333333"/>
                <w:sz w:val="18"/>
              </w:rPr>
              <w:t>25,00 €</w:t>
            </w:r>
          </w:p>
        </w:tc>
      </w:tr>
    </w:tbl>
    <w:p>
      <w:pPr>
        <w:spacing w:after="2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8F9FA"/>
            <w:tcBorders>
              <w:top w:val="none"/>
              <w:left w:val="single" w:sz="24" w:space="0" w:color="1F4E79"/>
              <w:bottom w:val="none"/>
              <w:right w:val="none"/>
            </w:tcBorders>
          </w:tcPr>
          <w:p>
            <w:pPr>
              <w:spacing w:before="120" w:after="80"/>
            </w:pPr>
            <w:r>
              <w:rPr>
                <w:rFonts w:ascii="Calibri" w:hAnsi="Calibri"/>
                <w:b/>
                <w:color w:val="1F4E79"/>
                <w:sz w:val="20"/>
              </w:rPr>
              <w:t>NAPOMENE I ZAKONSKE OBAVIJESTI:</w:t>
            </w:r>
          </w:p>
          <w:p>
            <w:pPr>
              <w:spacing w:before="40" w:after="80"/>
            </w:pPr>
            <w:r>
              <w:rPr>
                <w:rFonts w:ascii="Calibri" w:hAnsi="Calibri"/>
                <w:b/>
                <w:color w:val="333333"/>
                <w:sz w:val="19"/>
              </w:rPr>
              <w:t xml:space="preserve">1. Napomena o PDV-u: </w:t>
            </w:r>
            <w:r>
              <w:rPr>
                <w:rFonts w:ascii="Calibri" w:hAnsi="Calibri"/>
                <w:color w:val="333333"/>
                <w:sz w:val="19"/>
              </w:rPr>
              <w:t>Obrt nije obveznik PDV-a temeljem članka 90. stavka 1. i 2. Zakona o PDV-u. Sve navedene cijene su konačne maloprodajne cijene izražene u eurima (€).</w:t>
            </w:r>
          </w:p>
          <w:p>
            <w:pPr>
              <w:spacing w:before="40" w:after="80"/>
            </w:pPr>
            <w:r>
              <w:rPr>
                <w:rFonts w:ascii="Calibri" w:hAnsi="Calibri"/>
                <w:b/>
                <w:color w:val="333333"/>
                <w:sz w:val="19"/>
              </w:rPr>
              <w:t xml:space="preserve">2. Pisana ponuda / Radni nalog: </w:t>
            </w:r>
            <w:r>
              <w:rPr>
                <w:rFonts w:ascii="Calibri" w:hAnsi="Calibri"/>
                <w:color w:val="333333"/>
                <w:sz w:val="19"/>
              </w:rPr>
              <w:t>Sukladno Zakonu o zaštiti potrošača, za sve radove popravka, održavanja ili izgradnje čija je procijenjena vrijednost veća od 100,00 EUR, prije početka izvođenja radova klijentu se izdaje pisana ponuda ili radni nalog.</w:t>
            </w:r>
          </w:p>
          <w:p>
            <w:pPr>
              <w:spacing w:before="40" w:after="80"/>
            </w:pPr>
            <w:r>
              <w:rPr>
                <w:rFonts w:ascii="Calibri" w:hAnsi="Calibri"/>
                <w:b/>
                <w:color w:val="333333"/>
                <w:sz w:val="19"/>
              </w:rPr>
              <w:t xml:space="preserve">3. Način plaćanja: </w:t>
            </w:r>
            <w:r>
              <w:rPr>
                <w:rFonts w:ascii="Calibri" w:hAnsi="Calibri"/>
                <w:color w:val="333333"/>
                <w:sz w:val="19"/>
              </w:rPr>
              <w:t>Plaćanje se vrši gotovinom ili transakcijski na račun obrta temeljem izdanog računa.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